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CE0869" w14:paraId="472A858B" w14:textId="77777777">
        <w:tc>
          <w:tcPr>
            <w:tcW w:w="3471" w:type="dxa"/>
          </w:tcPr>
          <w:p w14:paraId="07F6D450" w14:textId="77777777" w:rsidR="00165146" w:rsidRPr="00CE0869" w:rsidRDefault="00BB128A">
            <w:pPr>
              <w:pStyle w:val="berschrift1"/>
              <w:spacing w:line="312" w:lineRule="auto"/>
            </w:pPr>
            <w:r>
              <w:t>NOTA DE PRENSA</w:t>
            </w:r>
          </w:p>
        </w:tc>
        <w:tc>
          <w:tcPr>
            <w:tcW w:w="3471" w:type="dxa"/>
          </w:tcPr>
          <w:p w14:paraId="233BC613" w14:textId="5EBB0756" w:rsidR="00165146" w:rsidRPr="00CE0869" w:rsidRDefault="00D12095">
            <w:pPr>
              <w:spacing w:line="312" w:lineRule="auto"/>
              <w:jc w:val="right"/>
              <w:rPr>
                <w:szCs w:val="22"/>
              </w:rPr>
            </w:pPr>
            <w:r>
              <w:rPr>
                <w:sz w:val="22"/>
              </w:rPr>
              <w:t>Octubre 2021</w:t>
            </w:r>
            <w:r w:rsidR="00165146" w:rsidRPr="00CE0869">
              <w:rPr>
                <w:sz w:val="22"/>
              </w:rPr>
              <w:fldChar w:fldCharType="begin"/>
            </w:r>
            <w:r w:rsidR="00165146" w:rsidRPr="00CE0869">
              <w:rPr>
                <w:sz w:val="22"/>
              </w:rPr>
              <w:instrText xml:space="preserve"> </w:instrText>
            </w:r>
            <w:r w:rsidR="00165146" w:rsidRPr="00CE0869">
              <w:rPr>
                <w:vanish/>
                <w:sz w:val="22"/>
              </w:rPr>
              <w:instrText>Nr. / Monat/Jahr</w:instrText>
            </w:r>
            <w:r w:rsidR="00165146" w:rsidRPr="00CE0869">
              <w:rPr>
                <w:sz w:val="22"/>
              </w:rPr>
              <w:instrText xml:space="preserve"> </w:instrText>
            </w:r>
            <w:r w:rsidR="00165146" w:rsidRPr="00CE0869">
              <w:rPr>
                <w:sz w:val="22"/>
              </w:rPr>
              <w:fldChar w:fldCharType="end"/>
            </w:r>
          </w:p>
        </w:tc>
      </w:tr>
    </w:tbl>
    <w:p w14:paraId="4551F9A4" w14:textId="77777777" w:rsidR="00165146" w:rsidRPr="00CE0869" w:rsidRDefault="00165146">
      <w:pPr>
        <w:spacing w:line="312" w:lineRule="auto"/>
        <w:rPr>
          <w:sz w:val="22"/>
          <w:szCs w:val="22"/>
          <w:lang w:val="de-CH"/>
        </w:rPr>
      </w:pPr>
    </w:p>
    <w:p w14:paraId="74E2E1BD" w14:textId="77777777" w:rsidR="00FC3AB5" w:rsidRPr="00CE0869" w:rsidRDefault="00FC3AB5" w:rsidP="0097221B">
      <w:pPr>
        <w:spacing w:line="312" w:lineRule="auto"/>
        <w:rPr>
          <w:b/>
          <w:sz w:val="22"/>
          <w:szCs w:val="22"/>
        </w:rPr>
      </w:pPr>
    </w:p>
    <w:p w14:paraId="3122ABCE" w14:textId="30B285EE" w:rsidR="00356FB1" w:rsidRPr="00CE0869" w:rsidRDefault="00C2356D" w:rsidP="0097221B">
      <w:pPr>
        <w:spacing w:line="312" w:lineRule="auto"/>
        <w:rPr>
          <w:b/>
          <w:sz w:val="22"/>
          <w:szCs w:val="22"/>
        </w:rPr>
      </w:pPr>
      <w:r>
        <w:rPr>
          <w:b/>
          <w:sz w:val="22"/>
        </w:rPr>
        <w:t>Supercade Manitas y estación de teleférico Manitas:</w:t>
      </w:r>
    </w:p>
    <w:p w14:paraId="0C220792" w14:textId="77777777" w:rsidR="005D7654" w:rsidRDefault="005D7654" w:rsidP="00356FB1">
      <w:pPr>
        <w:spacing w:line="312" w:lineRule="auto"/>
        <w:rPr>
          <w:b/>
          <w:sz w:val="28"/>
          <w:szCs w:val="28"/>
        </w:rPr>
      </w:pPr>
      <w:r>
        <w:rPr>
          <w:b/>
          <w:sz w:val="28"/>
        </w:rPr>
        <w:t xml:space="preserve">edificio institucional y terminal de transporte, </w:t>
      </w:r>
    </w:p>
    <w:p w14:paraId="233C6B8C" w14:textId="10892E0E" w:rsidR="003E6694" w:rsidRPr="00CE0869" w:rsidRDefault="005D7654" w:rsidP="00356FB1">
      <w:pPr>
        <w:spacing w:line="312" w:lineRule="auto"/>
        <w:rPr>
          <w:b/>
          <w:sz w:val="28"/>
          <w:szCs w:val="28"/>
        </w:rPr>
      </w:pPr>
      <w:r>
        <w:rPr>
          <w:b/>
          <w:sz w:val="28"/>
        </w:rPr>
        <w:t>dos en uno</w:t>
      </w:r>
    </w:p>
    <w:p w14:paraId="6B6FCED3" w14:textId="502FE932" w:rsidR="00A14972" w:rsidRPr="00C2356D" w:rsidRDefault="00291C50" w:rsidP="00356FB1">
      <w:pPr>
        <w:spacing w:line="312" w:lineRule="auto"/>
        <w:rPr>
          <w:rFonts w:cs="Arial"/>
          <w:b/>
          <w:sz w:val="20"/>
        </w:rPr>
      </w:pPr>
      <w:r>
        <w:rPr>
          <w:b/>
          <w:sz w:val="20"/>
        </w:rPr>
        <w:t>El nuevo edificio institucional de Ciudad Bolívar alberga por primera vez bajo un mismo techo todas las oficinas y autoridades esenciales, además de múltiples despachos para empresas de servicios municipales y sociales. La combinación con una terminal de transporte ofrece una proximidad al ciudadano hasta ahora desconocida. Gran parte de las fachadas están acristaladas y resaltan el carácter público del conjunto. Para realizar las distintas construcciones, los arquitectos han elegido carpinterías de acero Jansen por su fiable funcionalidad y por su durabilidad.</w:t>
      </w:r>
    </w:p>
    <w:p w14:paraId="2E490ED3" w14:textId="77777777" w:rsidR="00A14972" w:rsidRDefault="00A14972" w:rsidP="00356FB1">
      <w:pPr>
        <w:spacing w:line="312" w:lineRule="auto"/>
        <w:rPr>
          <w:sz w:val="20"/>
        </w:rPr>
      </w:pPr>
    </w:p>
    <w:p w14:paraId="705996DD" w14:textId="3209C371" w:rsidR="00FA1714" w:rsidRDefault="00EF2994" w:rsidP="009A082C">
      <w:pPr>
        <w:spacing w:line="312" w:lineRule="auto"/>
        <w:rPr>
          <w:sz w:val="20"/>
        </w:rPr>
      </w:pPr>
      <w:r>
        <w:rPr>
          <w:sz w:val="20"/>
        </w:rPr>
        <w:t>Bogotá, la capital y la ciudad más poblada de Colombia, se ha convertido en los últimos decenios en una metrópoli con más de ocho millones de habitantes. La brecha entre ricos y pobres es grande, y las diferencias se acusan no solo en los distintos ingresos de la población, sino también en la falta de infraestructuras en muchas zonas residenciales de la periferia de esta metrópoli en constante crecimiento. Son precisamente los grupos de población más pobres los que se ven obligados a instalarse aquí, sin acceso a instituciones públicas como escuelas, hospitales o transporte público. Uno de estos barrios, Ciudad Bolívar, al suroeste de Bogotá, se beneficia desde hace diez años de un programa de desarrollo urbano que pretende poner fin a esta situación, entre otros, gracias a la ampliación del transporte público o al acercamiento de la administración y los servicios públicos a los ciudadanos.</w:t>
      </w:r>
    </w:p>
    <w:p w14:paraId="1AF0301A" w14:textId="4E8B2146" w:rsidR="005D7654" w:rsidRDefault="005D7654" w:rsidP="00BB14D4">
      <w:pPr>
        <w:spacing w:line="312" w:lineRule="auto"/>
        <w:rPr>
          <w:sz w:val="20"/>
        </w:rPr>
      </w:pPr>
    </w:p>
    <w:p w14:paraId="3D27FE88" w14:textId="77777777" w:rsidR="005D7654" w:rsidRPr="005D7654" w:rsidRDefault="005D7654" w:rsidP="00BB14D4">
      <w:pPr>
        <w:spacing w:line="312" w:lineRule="auto"/>
        <w:rPr>
          <w:b/>
          <w:sz w:val="20"/>
        </w:rPr>
      </w:pPr>
      <w:r>
        <w:rPr>
          <w:b/>
          <w:sz w:val="20"/>
        </w:rPr>
        <w:t>El teleférico como parte del transporte público</w:t>
      </w:r>
    </w:p>
    <w:p w14:paraId="550FD0D0" w14:textId="6506AF00" w:rsidR="00BB14D4" w:rsidRDefault="00620221" w:rsidP="00BB14D4">
      <w:pPr>
        <w:spacing w:line="312" w:lineRule="auto"/>
        <w:rPr>
          <w:sz w:val="20"/>
        </w:rPr>
      </w:pPr>
      <w:r>
        <w:rPr>
          <w:sz w:val="20"/>
        </w:rPr>
        <w:t>Dado que la topografía y las densas construcciones sin estructura alguna repartidas por las estribaciones de los Andes impedían la expansión de los servicios de transporte convencionales, como autobuses o trenes, los responsables apostaron por un medio distinto: el teleférico. La empresa austriaca Doppelmayr Seilbahnen GmbH ha construido una línea de teleférico de unos 3,3 km de longitud, y cada una de sus ciento sesenta góndolas cuenta con capacidad para diez personas. El viaje en TransMiCable acorta el recorrido entre la estación de montaña del Mirador El Paraíso a la estación del valle El Tunal de hora y media a quince minutos. Sus cuatro esta</w:t>
      </w:r>
      <w:r>
        <w:rPr>
          <w:sz w:val="20"/>
        </w:rPr>
        <w:lastRenderedPageBreak/>
        <w:t>ciones se han levantado en los nudos de tráfico de Ciudad Bolívar. De este modo, el nuevo teleférico conecta a los más de 700 000 habitantes de este distrito urbano con la red de autobuses y cercanías TransMilenio, la principal empresa de transport</w:t>
      </w:r>
      <w:r w:rsidR="003A7286">
        <w:rPr>
          <w:sz w:val="20"/>
        </w:rPr>
        <w:t>e público del centro de Bogotá.</w:t>
      </w:r>
    </w:p>
    <w:p w14:paraId="6EE17315" w14:textId="2E76CC9E" w:rsidR="005D7654" w:rsidRDefault="005D7654" w:rsidP="00226E13">
      <w:pPr>
        <w:spacing w:line="312" w:lineRule="auto"/>
        <w:rPr>
          <w:sz w:val="20"/>
        </w:rPr>
      </w:pPr>
    </w:p>
    <w:p w14:paraId="22F9BE8F" w14:textId="77777777" w:rsidR="005D7654" w:rsidRPr="005D7654" w:rsidRDefault="005D7654" w:rsidP="00226E13">
      <w:pPr>
        <w:spacing w:line="312" w:lineRule="auto"/>
        <w:rPr>
          <w:b/>
          <w:sz w:val="20"/>
        </w:rPr>
      </w:pPr>
      <w:r>
        <w:rPr>
          <w:b/>
          <w:sz w:val="20"/>
        </w:rPr>
        <w:t>Centro administrativo próximo al ciudadano</w:t>
      </w:r>
    </w:p>
    <w:p w14:paraId="7645B5C6" w14:textId="32AEDA94" w:rsidR="00B20B4A" w:rsidRDefault="00BB14D4" w:rsidP="00226E13">
      <w:pPr>
        <w:spacing w:line="312" w:lineRule="auto"/>
        <w:rPr>
          <w:sz w:val="20"/>
        </w:rPr>
      </w:pPr>
      <w:r>
        <w:rPr>
          <w:sz w:val="20"/>
        </w:rPr>
        <w:t>El proyecto del teleférico ha estado acompañado de un amplio programa de desarrollo urbano, que incluía la construcción de un nuevo centro de administración y servicios próximo al ciudadano. De los setenta candidatos que participaron en el concurso, ganó ARE Arquitectura en Estudio, Bogotá, entre otros, por su diseño de la cubierta del nuevo edificio: un lugar de acceso público que no solo ofrece una hermosa vista, sino que también acoge zonas de juego. El espacio que conecta la terminal con el edificio institucional se presenta como un poderoso solitario de hormigón, acero y vidrio, que destaca entre el colorido mar de casas y puede verse a gran distancia. Sin embargo, desde el punto de vista constructivo, se trata de d</w:t>
      </w:r>
      <w:r w:rsidR="003F36C3">
        <w:rPr>
          <w:sz w:val="20"/>
        </w:rPr>
        <w:t>os estructuras independientes.</w:t>
      </w:r>
    </w:p>
    <w:p w14:paraId="00BE9C6A" w14:textId="2157C673" w:rsidR="00226E13" w:rsidRDefault="00B20B4A" w:rsidP="00226E13">
      <w:pPr>
        <w:spacing w:line="312" w:lineRule="auto"/>
        <w:rPr>
          <w:sz w:val="20"/>
        </w:rPr>
      </w:pPr>
      <w:r>
        <w:rPr>
          <w:sz w:val="20"/>
        </w:rPr>
        <w:tab/>
        <w:t>En el Supercade Manitas se pueden tramitar innumerables asuntos administrativos en un solo lugar: además de oficinas y autoridades, tienen aquí su sede servicios públicos municipales, el cuerpo de bomberos o, por ejemplo, el supervisor de la mujer. Sin olvidar distintas empresas de servicios sociales para niños, ancianos y enfermos o diversos servicios culturales. En resumen, resulta difícil encontrar un colectivo público que no cuente aquí con representación. La concentración en un solo lugar, al que cada día acuden miles de habitantes, ahorra a los ciudadanos la necesidad de trasladarse al centro de Bogotá, donde estas oficinas y autoridades se encuentran repartidas en distintas ubicaciones. Pero no solo funcionalmente, también visualmente Supercade Manitas se mantiene firme en medio del oleaje urbano: en el interior no se percibe la simplicidad y la pobreza del exterior. Cuando se entra en el edificio, uno se siente seguro y a salvo. Como si de un acantilado se tratara, las fachadas acristaladas permiten contemplar con toda tranquilidad el mar de casas que se extiende hasta las lad</w:t>
      </w:r>
      <w:r w:rsidR="003B6114">
        <w:rPr>
          <w:sz w:val="20"/>
        </w:rPr>
        <w:t>eras de Monserrate.</w:t>
      </w:r>
    </w:p>
    <w:p w14:paraId="2FC3B744" w14:textId="207F5F20" w:rsidR="002A14C6" w:rsidRDefault="002A14C6" w:rsidP="001664F6">
      <w:pPr>
        <w:spacing w:line="312" w:lineRule="auto"/>
        <w:rPr>
          <w:sz w:val="20"/>
        </w:rPr>
      </w:pPr>
    </w:p>
    <w:p w14:paraId="32DABCFC" w14:textId="3E545CA4" w:rsidR="002A14C6" w:rsidRPr="002A14C6" w:rsidRDefault="002A14C6" w:rsidP="001664F6">
      <w:pPr>
        <w:spacing w:line="312" w:lineRule="auto"/>
        <w:rPr>
          <w:b/>
          <w:sz w:val="20"/>
        </w:rPr>
      </w:pPr>
      <w:r>
        <w:rPr>
          <w:b/>
          <w:sz w:val="20"/>
        </w:rPr>
        <w:t>Las fachadas acristaladas di</w:t>
      </w:r>
      <w:r w:rsidR="000503F6">
        <w:rPr>
          <w:b/>
          <w:sz w:val="20"/>
        </w:rPr>
        <w:t>spensan una «cálida bienvenida»</w:t>
      </w:r>
    </w:p>
    <w:p w14:paraId="6A947727" w14:textId="534EEB65" w:rsidR="00DC470B" w:rsidRDefault="001664F6" w:rsidP="001664F6">
      <w:pPr>
        <w:spacing w:line="312" w:lineRule="auto"/>
        <w:rPr>
          <w:sz w:val="20"/>
        </w:rPr>
      </w:pPr>
      <w:r>
        <w:rPr>
          <w:sz w:val="20"/>
        </w:rPr>
        <w:t>Una fachada de montantes y travesaños de Jansen VISS Basic contribuye a crear un ambiente luminoso y acogedor en el centro de administración y servicios Supercade Manitas. El módulo de protección solar exterior determinó el tamaño de los elementos de vidrio, generalmente de 1,20 m de ancho y 2,4 m de alto. El versátil sistema modular de Jansen VISS también permitió una transición perfecta de la fachada al acristalamiento de la cu</w:t>
      </w:r>
      <w:r>
        <w:rPr>
          <w:sz w:val="20"/>
        </w:rPr>
        <w:lastRenderedPageBreak/>
        <w:t>bierta. La transparencia del revestimiento exterior continúa en el interior del edificio con numerosos acristalamientos fijos, puertas de vidrio y ventanas fabricadas con el sistema de acero no aislado Jansen Economy 50. Los arquitectos eligieron también aquí sistemas de acero Jansen, ya que garantizan precisamente la robustez y la prolongada eficiencia funcional que requiere un edificio institucional y</w:t>
      </w:r>
      <w:r w:rsidR="00AB6679">
        <w:rPr>
          <w:sz w:val="20"/>
        </w:rPr>
        <w:t xml:space="preserve"> de transporte muy frecuentado.</w:t>
      </w:r>
    </w:p>
    <w:p w14:paraId="1C03887B" w14:textId="5CE08962" w:rsidR="001664F6" w:rsidRPr="001664F6" w:rsidRDefault="00DC470B" w:rsidP="001664F6">
      <w:pPr>
        <w:spacing w:line="312" w:lineRule="auto"/>
        <w:rPr>
          <w:sz w:val="20"/>
        </w:rPr>
      </w:pPr>
      <w:r>
        <w:rPr>
          <w:sz w:val="20"/>
        </w:rPr>
        <w:tab/>
        <w:t xml:space="preserve">Es obvio que las grandes superficies de acristalamientos son muestra de la transparencia y de la apertura que la municipalidad pretende mostrar a sus ciudadanos. Aunque no todo el mundo puede permitirse usar el TransMiCable, Supercade Manitas se ha convertido en un lugar público y acogedor para disfrutar de las comodidades del siglo </w:t>
      </w:r>
      <w:r w:rsidR="005C2E16" w:rsidRPr="005C2E16">
        <w:rPr>
          <w:smallCaps/>
          <w:sz w:val="20"/>
        </w:rPr>
        <w:t>xxi</w:t>
      </w:r>
      <w:r>
        <w:rPr>
          <w:sz w:val="20"/>
        </w:rPr>
        <w:t xml:space="preserve"> con sus fiables sistemas de red y comunicación. Aquí, el futuro ya no es una promesa, sino una realidad. Saber que el futuro ha llegado a su barrio hace que los jóvenes en particular se sientan seguros. Al fin y al cabo, el nuevo teleférico pretende salvar no solo un terreno de difícil acceso desde un punto de vista topográfico, sino también la brecha entre ricos y pobres: la optimización de la conexión de transporte de Ciudad Bolívar con el centro de Bogotá va ligada a la esperanza de que la brecha educativa y de ingresos, tan elevada en las últimas décadas, se reduzca al facilitar a los sectores más pobres de la población acceso a oportunidades de educación e ingresos en el centro de la metrópoli.</w:t>
      </w:r>
    </w:p>
    <w:p w14:paraId="5D98B1CC" w14:textId="77777777" w:rsidR="007E6EEF" w:rsidRDefault="007E6EEF" w:rsidP="00045E6B">
      <w:pPr>
        <w:spacing w:line="312" w:lineRule="auto"/>
        <w:rPr>
          <w:sz w:val="20"/>
        </w:rPr>
      </w:pPr>
    </w:p>
    <w:p w14:paraId="66A67B7A" w14:textId="77777777" w:rsidR="00D12095" w:rsidRDefault="00D12095" w:rsidP="009C07A0">
      <w:pPr>
        <w:spacing w:line="312" w:lineRule="auto"/>
        <w:rPr>
          <w:sz w:val="20"/>
        </w:rPr>
      </w:pPr>
    </w:p>
    <w:p w14:paraId="3754D663" w14:textId="77777777" w:rsidR="007B21AC" w:rsidRPr="00CE0869" w:rsidRDefault="007B21AC" w:rsidP="007B21AC">
      <w:pPr>
        <w:spacing w:line="312" w:lineRule="auto"/>
        <w:rPr>
          <w:b/>
          <w:sz w:val="20"/>
        </w:rPr>
      </w:pPr>
      <w:r>
        <w:rPr>
          <w:b/>
          <w:sz w:val="20"/>
        </w:rPr>
        <w:t>Placa de construcción:</w:t>
      </w:r>
    </w:p>
    <w:p w14:paraId="4CB1717A" w14:textId="1FA9F8E1" w:rsidR="007B21AC" w:rsidRPr="00CE0869" w:rsidRDefault="007B21AC" w:rsidP="007B21AC">
      <w:pPr>
        <w:spacing w:line="312" w:lineRule="auto"/>
        <w:rPr>
          <w:sz w:val="20"/>
        </w:rPr>
      </w:pPr>
      <w:r>
        <w:rPr>
          <w:b/>
          <w:sz w:val="20"/>
        </w:rPr>
        <w:t>Constructor:</w:t>
      </w:r>
      <w:r>
        <w:rPr>
          <w:sz w:val="20"/>
        </w:rPr>
        <w:t xml:space="preserve"> Municipalidad de Bolívar</w:t>
      </w:r>
    </w:p>
    <w:p w14:paraId="4E5B232C" w14:textId="168AE762" w:rsidR="007B21AC" w:rsidRPr="00CE0869" w:rsidRDefault="007B21AC" w:rsidP="007B21AC">
      <w:pPr>
        <w:spacing w:line="312" w:lineRule="auto"/>
        <w:rPr>
          <w:sz w:val="20"/>
        </w:rPr>
      </w:pPr>
      <w:r>
        <w:rPr>
          <w:b/>
          <w:sz w:val="20"/>
        </w:rPr>
        <w:t>Arquitectos:</w:t>
      </w:r>
      <w:r>
        <w:rPr>
          <w:sz w:val="20"/>
        </w:rPr>
        <w:t xml:space="preserve"> </w:t>
      </w:r>
      <w:r>
        <w:rPr>
          <w:rFonts w:ascii="Syntax-Roman" w:hAnsi="Syntax-Roman"/>
          <w:sz w:val="20"/>
        </w:rPr>
        <w:t>ARE Arquitectura en Estudio, Bogotá</w:t>
      </w:r>
    </w:p>
    <w:p w14:paraId="50C1248D" w14:textId="5F8ECBB4" w:rsidR="002A14C6" w:rsidRPr="00CE0869" w:rsidRDefault="007B21AC" w:rsidP="002A14C6">
      <w:pPr>
        <w:spacing w:line="312" w:lineRule="auto"/>
        <w:rPr>
          <w:rFonts w:cs="Arial"/>
          <w:sz w:val="20"/>
        </w:rPr>
      </w:pPr>
      <w:r>
        <w:rPr>
          <w:b/>
          <w:sz w:val="20"/>
        </w:rPr>
        <w:t>Empresa metalista:</w:t>
      </w:r>
      <w:r>
        <w:rPr>
          <w:sz w:val="20"/>
        </w:rPr>
        <w:t xml:space="preserve"> </w:t>
      </w:r>
      <w:r>
        <w:rPr>
          <w:rFonts w:ascii="Syntax-Roman" w:hAnsi="Syntax-Roman"/>
          <w:sz w:val="20"/>
        </w:rPr>
        <w:t>CYQ Group Ltda, Bogotá</w:t>
      </w:r>
    </w:p>
    <w:p w14:paraId="3DD2AA8F" w14:textId="5979B287" w:rsidR="007B21AC" w:rsidRPr="00CE0869" w:rsidRDefault="002A14C6" w:rsidP="007B21AC">
      <w:pPr>
        <w:spacing w:line="312" w:lineRule="auto"/>
        <w:rPr>
          <w:b/>
          <w:sz w:val="20"/>
        </w:rPr>
      </w:pPr>
      <w:r>
        <w:rPr>
          <w:b/>
          <w:sz w:val="20"/>
        </w:rPr>
        <w:t xml:space="preserve">Perfiles empleados: </w:t>
      </w:r>
      <w:r>
        <w:rPr>
          <w:sz w:val="20"/>
        </w:rPr>
        <w:t>Jansen VISS Basic, Economy 50</w:t>
      </w:r>
    </w:p>
    <w:p w14:paraId="14F6D3EC" w14:textId="633FA244" w:rsidR="003C6265" w:rsidRDefault="007B21AC" w:rsidP="007B21AC">
      <w:pPr>
        <w:spacing w:line="312" w:lineRule="auto"/>
        <w:rPr>
          <w:rFonts w:cs="Arial"/>
          <w:sz w:val="20"/>
        </w:rPr>
      </w:pPr>
      <w:r>
        <w:rPr>
          <w:b/>
          <w:sz w:val="20"/>
        </w:rPr>
        <w:t>Proveedor de sistemas:</w:t>
      </w:r>
      <w:r>
        <w:rPr>
          <w:sz w:val="20"/>
        </w:rPr>
        <w:t xml:space="preserve"> </w:t>
      </w:r>
      <w:r>
        <w:rPr>
          <w:rFonts w:ascii="Syntax-Roman" w:hAnsi="Syntax-Roman"/>
          <w:sz w:val="20"/>
        </w:rPr>
        <w:t>PerfilArq Colombia SAS, Bogotá</w:t>
      </w:r>
    </w:p>
    <w:p w14:paraId="55E60EF5" w14:textId="3AF71D8A" w:rsidR="007B21AC" w:rsidRPr="00CE0869" w:rsidRDefault="003C6265" w:rsidP="007B21AC">
      <w:pPr>
        <w:spacing w:line="312" w:lineRule="auto"/>
        <w:rPr>
          <w:sz w:val="20"/>
        </w:rPr>
      </w:pPr>
      <w:r>
        <w:rPr>
          <w:b/>
          <w:sz w:val="20"/>
        </w:rPr>
        <w:t>Fabricante:</w:t>
      </w:r>
      <w:r>
        <w:rPr>
          <w:sz w:val="20"/>
        </w:rPr>
        <w:t xml:space="preserve"> Jansen AG, Oberriet, Suiza</w:t>
      </w:r>
    </w:p>
    <w:p w14:paraId="173EA8AE" w14:textId="77777777" w:rsidR="00D64A10" w:rsidRPr="005C2E16" w:rsidRDefault="00D64A10" w:rsidP="00E96767">
      <w:pPr>
        <w:spacing w:line="312" w:lineRule="auto"/>
        <w:rPr>
          <w:b/>
          <w:bCs/>
          <w:sz w:val="20"/>
        </w:rPr>
      </w:pPr>
    </w:p>
    <w:p w14:paraId="133F1BF2" w14:textId="02414805" w:rsidR="002A14C6" w:rsidRPr="00F360E9" w:rsidRDefault="002A14C6" w:rsidP="002A14C6">
      <w:pPr>
        <w:spacing w:line="312" w:lineRule="auto"/>
        <w:rPr>
          <w:rFonts w:cs="Arial"/>
          <w:b/>
          <w:bCs/>
          <w:sz w:val="20"/>
        </w:rPr>
      </w:pPr>
      <w:r>
        <w:rPr>
          <w:b/>
          <w:sz w:val="20"/>
        </w:rPr>
        <w:t xml:space="preserve">Texto: </w:t>
      </w:r>
      <w:r>
        <w:rPr>
          <w:sz w:val="20"/>
        </w:rPr>
        <w:t>Anne Marie Ring, Múnich, Alemania</w:t>
      </w:r>
    </w:p>
    <w:p w14:paraId="771FD0F4" w14:textId="77777777" w:rsidR="002A14C6" w:rsidRPr="00D007DF" w:rsidRDefault="002A14C6" w:rsidP="002A14C6">
      <w:pPr>
        <w:pStyle w:val="KeinAbsatzformat"/>
        <w:rPr>
          <w:rFonts w:ascii="Syntax-Roman" w:hAnsi="Syntax-Roman" w:cs="Syntax-Roman"/>
          <w:sz w:val="20"/>
          <w:szCs w:val="20"/>
        </w:rPr>
      </w:pPr>
      <w:r>
        <w:rPr>
          <w:rFonts w:ascii="Syntax-Bold" w:hAnsi="Syntax-Bold"/>
          <w:b/>
          <w:sz w:val="20"/>
        </w:rPr>
        <w:t xml:space="preserve">Fotografías: </w:t>
      </w:r>
      <w:r>
        <w:rPr>
          <w:rFonts w:ascii="Syntax-Roman" w:hAnsi="Syntax-Roman"/>
          <w:sz w:val="20"/>
        </w:rPr>
        <w:t xml:space="preserve">Jairo Llano – </w:t>
      </w:r>
      <w:r w:rsidRPr="00D007DF">
        <w:rPr>
          <w:rFonts w:ascii="Syntax-Roman" w:hAnsi="Syntax-Roman"/>
          <w:sz w:val="20"/>
        </w:rPr>
        <w:t>LlanoFotografia, Bogotá</w:t>
      </w:r>
    </w:p>
    <w:p w14:paraId="1AA009C5" w14:textId="4B1768A3" w:rsidR="002A14C6" w:rsidRPr="00C871BC" w:rsidRDefault="002A14C6" w:rsidP="002A14C6">
      <w:pPr>
        <w:pStyle w:val="KeinAbsatzformat"/>
        <w:rPr>
          <w:rFonts w:ascii="Arial" w:hAnsi="Arial" w:cs="Arial"/>
          <w:sz w:val="20"/>
        </w:rPr>
      </w:pPr>
      <w:r w:rsidRPr="00D007DF">
        <w:rPr>
          <w:rFonts w:ascii="Arial" w:hAnsi="Arial"/>
          <w:b/>
          <w:sz w:val="20"/>
        </w:rPr>
        <w:t>Derechos de uso:</w:t>
      </w:r>
      <w:r w:rsidR="00810A7E" w:rsidRPr="00D007DF">
        <w:rPr>
          <w:rFonts w:ascii="Arial" w:hAnsi="Arial"/>
          <w:sz w:val="20"/>
        </w:rPr>
        <w:t xml:space="preserve"> </w:t>
      </w:r>
      <w:r w:rsidRPr="00D007DF">
        <w:rPr>
          <w:rFonts w:ascii="Arial" w:hAnsi="Arial"/>
          <w:sz w:val="20"/>
        </w:rPr>
        <w:t>Jansen AG, Oberriet, Suiza</w:t>
      </w:r>
    </w:p>
    <w:p w14:paraId="2BC91DB1" w14:textId="4BE3C7CC" w:rsidR="00E96767" w:rsidRPr="00C871BC" w:rsidRDefault="00E96767" w:rsidP="00E96767">
      <w:pPr>
        <w:spacing w:line="312" w:lineRule="auto"/>
        <w:rPr>
          <w:rFonts w:cs="Arial"/>
          <w:b/>
          <w:bCs/>
          <w:sz w:val="20"/>
        </w:rPr>
      </w:pPr>
      <w:r>
        <w:rPr>
          <w:b/>
          <w:sz w:val="20"/>
        </w:rPr>
        <w:t xml:space="preserve">Derechos de imagen: </w:t>
      </w:r>
      <w:r>
        <w:rPr>
          <w:sz w:val="20"/>
        </w:rPr>
        <w:t>Jansen AG / LlanoFotografia, Bogotá</w:t>
      </w:r>
    </w:p>
    <w:p w14:paraId="4EB75E56" w14:textId="12207491" w:rsidR="00E96767" w:rsidRPr="00CE0869" w:rsidRDefault="00630751" w:rsidP="00064A71">
      <w:pPr>
        <w:pStyle w:val="Text"/>
        <w:spacing w:before="0"/>
        <w:ind w:right="0"/>
        <w:jc w:val="left"/>
        <w:rPr>
          <w:rFonts w:ascii="Arial" w:hAnsi="Arial"/>
          <w:bCs/>
          <w:sz w:val="20"/>
        </w:rPr>
      </w:pPr>
      <w:r>
        <w:rPr>
          <w:rFonts w:ascii="Arial" w:hAnsi="Arial"/>
          <w:sz w:val="20"/>
        </w:rPr>
        <w:t>El uso editorial de las fotografías está sujeto a la presente nota de prensa.</w:t>
      </w:r>
    </w:p>
    <w:p w14:paraId="6BAAE853" w14:textId="77777777" w:rsidR="00E96767" w:rsidRPr="00CE0869" w:rsidRDefault="00E96767" w:rsidP="00064A71">
      <w:pPr>
        <w:pStyle w:val="Text"/>
        <w:spacing w:before="0"/>
        <w:ind w:right="0"/>
        <w:jc w:val="left"/>
        <w:rPr>
          <w:rFonts w:ascii="Arial" w:hAnsi="Arial"/>
          <w:b/>
          <w:bCs/>
          <w:sz w:val="18"/>
          <w:szCs w:val="18"/>
        </w:rPr>
      </w:pPr>
    </w:p>
    <w:p w14:paraId="2ADE9F4E" w14:textId="77777777" w:rsidR="00D40E50" w:rsidRPr="00CE0869" w:rsidRDefault="00D40E50" w:rsidP="00064A71">
      <w:pPr>
        <w:pStyle w:val="Text"/>
        <w:spacing w:before="0"/>
        <w:ind w:right="0"/>
        <w:jc w:val="left"/>
        <w:rPr>
          <w:rFonts w:ascii="Arial" w:hAnsi="Arial"/>
          <w:b/>
          <w:bCs/>
          <w:sz w:val="18"/>
          <w:szCs w:val="18"/>
        </w:rPr>
      </w:pPr>
    </w:p>
    <w:p w14:paraId="4551B904" w14:textId="77777777" w:rsidR="009175C4" w:rsidRPr="009175C4" w:rsidRDefault="009175C4" w:rsidP="009175C4">
      <w:pPr>
        <w:pStyle w:val="Text"/>
        <w:rPr>
          <w:rFonts w:ascii="Arial" w:hAnsi="Arial"/>
          <w:b/>
          <w:bCs/>
          <w:sz w:val="18"/>
          <w:szCs w:val="18"/>
        </w:rPr>
      </w:pPr>
      <w:r>
        <w:rPr>
          <w:rFonts w:ascii="Arial" w:hAnsi="Arial"/>
          <w:b/>
          <w:sz w:val="18"/>
        </w:rPr>
        <w:t>Leyendas</w:t>
      </w:r>
    </w:p>
    <w:p w14:paraId="6B05B3C0" w14:textId="518042E6" w:rsidR="009175C4" w:rsidRPr="009175C4" w:rsidRDefault="009175C4" w:rsidP="009175C4">
      <w:pPr>
        <w:pStyle w:val="Text"/>
        <w:rPr>
          <w:rFonts w:ascii="Arial" w:hAnsi="Arial"/>
          <w:bCs/>
          <w:sz w:val="18"/>
          <w:szCs w:val="18"/>
        </w:rPr>
      </w:pPr>
      <w:r>
        <w:rPr>
          <w:rFonts w:ascii="Arial" w:hAnsi="Arial"/>
          <w:sz w:val="18"/>
        </w:rPr>
        <w:lastRenderedPageBreak/>
        <w:t>pic_01: El nuevo edificio institucional de Ciudad Bolívar alberga bajo un mismo techo todas las oficinas y autoridades esenciales, así como múltiples despachos para empresas de servicios municipales y sociales. La combinación con la terminal de teleférico ofrece una proximidad al ciudadano hasta ahora desconocida. Las grandes fachadas acristaladas resaltan el carácter público del conjunto. Para realizar las distintas construcciones de acero y vidrio, los arquitectos han elegido carpinterías de acero Jansen por su fiable funcionalidad y por su durabilidad.</w:t>
      </w:r>
    </w:p>
    <w:p w14:paraId="73E97914" w14:textId="77777777" w:rsidR="009175C4" w:rsidRPr="009175C4" w:rsidRDefault="009175C4" w:rsidP="009175C4">
      <w:pPr>
        <w:pStyle w:val="Text"/>
        <w:rPr>
          <w:rFonts w:ascii="Arial" w:hAnsi="Arial"/>
          <w:bCs/>
          <w:sz w:val="18"/>
          <w:szCs w:val="18"/>
        </w:rPr>
      </w:pPr>
      <w:r>
        <w:rPr>
          <w:rFonts w:ascii="Arial" w:hAnsi="Arial"/>
          <w:sz w:val="18"/>
        </w:rPr>
        <w:t>pic_02: La conexión del edificio institucional con la estación de teleférico se presenta como un poderoso solitario de hormigón, acero y vidrio, que destaca entre el colorido mar de casas y puede verse a gran distancia.</w:t>
      </w:r>
    </w:p>
    <w:p w14:paraId="78B8028A" w14:textId="422E4652" w:rsidR="009175C4" w:rsidRPr="009175C4" w:rsidRDefault="009175C4" w:rsidP="009175C4">
      <w:pPr>
        <w:pStyle w:val="Text"/>
        <w:rPr>
          <w:rFonts w:ascii="Arial" w:hAnsi="Arial"/>
          <w:bCs/>
          <w:sz w:val="18"/>
          <w:szCs w:val="18"/>
        </w:rPr>
      </w:pPr>
      <w:r>
        <w:rPr>
          <w:rFonts w:ascii="Arial" w:hAnsi="Arial"/>
          <w:sz w:val="18"/>
        </w:rPr>
        <w:t>pic_03: Aunque ambos edificios se fusionan de manera imperceptible, se trata de dos construcciones independientes. El acceso principal es muy seguro para los peatones, incluso para personas con movilidad reducida.</w:t>
      </w:r>
    </w:p>
    <w:p w14:paraId="161A9D32" w14:textId="093F165F" w:rsidR="009175C4" w:rsidRPr="009175C4" w:rsidRDefault="009175C4" w:rsidP="009175C4">
      <w:pPr>
        <w:pStyle w:val="Text"/>
        <w:rPr>
          <w:rFonts w:ascii="Arial" w:hAnsi="Arial"/>
          <w:bCs/>
          <w:sz w:val="18"/>
          <w:szCs w:val="18"/>
        </w:rPr>
      </w:pPr>
      <w:r>
        <w:rPr>
          <w:rFonts w:ascii="Arial" w:hAnsi="Arial"/>
          <w:sz w:val="18"/>
        </w:rPr>
        <w:t>pic_04: Planta baja: fachada con sistema de acero Economy 50 (puertas y acristalamiento fijo); puertas con cierre antipánico. Arriba: muro cortina VISS Basic (con ventanas Economy 50 integradas). La estructura de acero soporta el sistema de protección solar de láminas de hormigón.</w:t>
      </w:r>
    </w:p>
    <w:p w14:paraId="1732F8DC" w14:textId="5449E1D9" w:rsidR="009175C4" w:rsidRPr="009175C4" w:rsidRDefault="009175C4" w:rsidP="009175C4">
      <w:pPr>
        <w:pStyle w:val="Text"/>
        <w:rPr>
          <w:rFonts w:ascii="Arial" w:hAnsi="Arial"/>
          <w:bCs/>
          <w:sz w:val="18"/>
          <w:szCs w:val="18"/>
        </w:rPr>
      </w:pPr>
      <w:r>
        <w:rPr>
          <w:rFonts w:ascii="Arial" w:hAnsi="Arial"/>
          <w:sz w:val="18"/>
        </w:rPr>
        <w:t>pic_05: El módulo de protección solar exterior determina el tamaño de los elementos de vidrio, generalmente de 1,20 m x 2,40 m.</w:t>
      </w:r>
    </w:p>
    <w:p w14:paraId="26792075" w14:textId="4E6F019E" w:rsidR="009175C4" w:rsidRPr="009175C4" w:rsidRDefault="009175C4" w:rsidP="009175C4">
      <w:pPr>
        <w:pStyle w:val="Text"/>
        <w:rPr>
          <w:rFonts w:ascii="Arial" w:hAnsi="Arial"/>
          <w:bCs/>
          <w:sz w:val="18"/>
          <w:szCs w:val="18"/>
        </w:rPr>
      </w:pPr>
      <w:r>
        <w:rPr>
          <w:rFonts w:ascii="Arial" w:hAnsi="Arial"/>
          <w:sz w:val="18"/>
        </w:rPr>
        <w:t>pic_06: Para la elección de los sistemas de acero Jansen fueron determinantes la fiable funcionalidad y la durabilidad que ofrecen en edificios públicos de gran afluencia, como Supercade Manitas.</w:t>
      </w:r>
    </w:p>
    <w:p w14:paraId="5424F672" w14:textId="77777777" w:rsidR="00B464D7" w:rsidRDefault="00B464D7" w:rsidP="009175C4">
      <w:pPr>
        <w:pStyle w:val="Text"/>
        <w:spacing w:before="0"/>
        <w:ind w:right="0"/>
        <w:jc w:val="left"/>
        <w:rPr>
          <w:rFonts w:ascii="Arial" w:hAnsi="Arial"/>
          <w:bCs/>
          <w:sz w:val="18"/>
          <w:szCs w:val="18"/>
        </w:rPr>
      </w:pPr>
    </w:p>
    <w:p w14:paraId="3BFE686B" w14:textId="740319D8" w:rsidR="002402F9" w:rsidRPr="009175C4" w:rsidRDefault="009175C4" w:rsidP="009175C4">
      <w:pPr>
        <w:pStyle w:val="Text"/>
        <w:spacing w:before="0"/>
        <w:ind w:right="0"/>
        <w:jc w:val="left"/>
        <w:rPr>
          <w:rFonts w:ascii="Arial" w:hAnsi="Arial"/>
          <w:bCs/>
          <w:sz w:val="18"/>
          <w:szCs w:val="18"/>
        </w:rPr>
      </w:pPr>
      <w:r>
        <w:rPr>
          <w:rFonts w:ascii="Arial" w:hAnsi="Arial"/>
          <w:sz w:val="18"/>
        </w:rPr>
        <w:t>pic_07: El versátil sistema modular de Jansen VISS también permitió una transición perfecta de la fachada al acristalamiento de la cubierta.</w:t>
      </w:r>
    </w:p>
    <w:p w14:paraId="4B3D6497" w14:textId="77777777" w:rsidR="002402F9" w:rsidRPr="00CE0869" w:rsidRDefault="002402F9" w:rsidP="0097221B">
      <w:pPr>
        <w:pStyle w:val="Text"/>
        <w:spacing w:before="0"/>
        <w:ind w:right="0"/>
        <w:jc w:val="left"/>
        <w:rPr>
          <w:rFonts w:ascii="Arial" w:hAnsi="Arial"/>
          <w:sz w:val="18"/>
          <w:szCs w:val="18"/>
        </w:rPr>
      </w:pPr>
    </w:p>
    <w:p w14:paraId="05934DB6" w14:textId="77777777" w:rsidR="00FC3AB5" w:rsidRPr="00CE0869" w:rsidRDefault="00FC3AB5" w:rsidP="00064A71">
      <w:pPr>
        <w:pStyle w:val="Text"/>
        <w:spacing w:before="0"/>
        <w:ind w:right="0"/>
        <w:jc w:val="left"/>
        <w:rPr>
          <w:rFonts w:ascii="Arial" w:hAnsi="Arial"/>
          <w:sz w:val="18"/>
          <w:szCs w:val="18"/>
        </w:rPr>
      </w:pPr>
    </w:p>
    <w:p w14:paraId="7F190133" w14:textId="77777777" w:rsidR="00682475" w:rsidRPr="00CE0869" w:rsidRDefault="00682475" w:rsidP="009330F4">
      <w:pPr>
        <w:spacing w:line="264" w:lineRule="auto"/>
        <w:rPr>
          <w:b/>
          <w:sz w:val="18"/>
        </w:rPr>
      </w:pPr>
      <w:r>
        <w:rPr>
          <w:b/>
          <w:sz w:val="18"/>
        </w:rPr>
        <w:t xml:space="preserve">Persona de contacto </w:t>
      </w:r>
      <w:r>
        <w:rPr>
          <w:b/>
          <w:sz w:val="18"/>
          <w:u w:val="single"/>
        </w:rPr>
        <w:t>para editoriales suizas:</w:t>
      </w:r>
    </w:p>
    <w:p w14:paraId="7D5009AB" w14:textId="77777777" w:rsidR="00682475" w:rsidRPr="005C2E16" w:rsidRDefault="00682475" w:rsidP="009330F4">
      <w:pPr>
        <w:spacing w:line="264" w:lineRule="auto"/>
        <w:rPr>
          <w:sz w:val="18"/>
          <w:lang w:val="de-DE"/>
        </w:rPr>
      </w:pPr>
      <w:r w:rsidRPr="005C2E16">
        <w:rPr>
          <w:sz w:val="18"/>
          <w:lang w:val="de-DE"/>
        </w:rPr>
        <w:t>Jansen AG</w:t>
      </w:r>
    </w:p>
    <w:p w14:paraId="028FE6FA" w14:textId="77777777" w:rsidR="00682475" w:rsidRPr="005C2E16" w:rsidRDefault="00D7562E" w:rsidP="009330F4">
      <w:pPr>
        <w:spacing w:line="264" w:lineRule="auto"/>
        <w:rPr>
          <w:sz w:val="18"/>
          <w:lang w:val="de-DE"/>
        </w:rPr>
      </w:pPr>
      <w:r w:rsidRPr="005C2E16">
        <w:rPr>
          <w:sz w:val="18"/>
          <w:lang w:val="de-DE"/>
        </w:rPr>
        <w:t>Anita Lösch</w:t>
      </w:r>
    </w:p>
    <w:p w14:paraId="659CB00D" w14:textId="77777777" w:rsidR="00682475" w:rsidRPr="00D007DF" w:rsidRDefault="00682475" w:rsidP="009330F4">
      <w:pPr>
        <w:spacing w:line="264" w:lineRule="auto"/>
        <w:rPr>
          <w:sz w:val="18"/>
          <w:lang w:val="de-DE"/>
        </w:rPr>
      </w:pPr>
      <w:r w:rsidRPr="00D007DF">
        <w:rPr>
          <w:sz w:val="18"/>
          <w:lang w:val="de-DE"/>
        </w:rPr>
        <w:t>Industriestrasse 34</w:t>
      </w:r>
    </w:p>
    <w:p w14:paraId="471ADB82" w14:textId="77777777" w:rsidR="00682475" w:rsidRPr="00CE0869" w:rsidRDefault="00682475" w:rsidP="009330F4">
      <w:pPr>
        <w:spacing w:line="264" w:lineRule="auto"/>
        <w:rPr>
          <w:sz w:val="18"/>
        </w:rPr>
      </w:pPr>
      <w:r w:rsidRPr="00D007DF">
        <w:rPr>
          <w:sz w:val="18"/>
        </w:rPr>
        <w:t>CH-9463 Oberriet SG</w:t>
      </w:r>
    </w:p>
    <w:p w14:paraId="6C63F393" w14:textId="77777777" w:rsidR="00682475" w:rsidRPr="00CE0869" w:rsidRDefault="00762AEA" w:rsidP="009330F4">
      <w:pPr>
        <w:spacing w:line="264" w:lineRule="auto"/>
        <w:rPr>
          <w:sz w:val="18"/>
        </w:rPr>
      </w:pPr>
      <w:r>
        <w:rPr>
          <w:sz w:val="18"/>
        </w:rPr>
        <w:t xml:space="preserve">Tel.: +41 (0)71 763 99 31 </w:t>
      </w:r>
    </w:p>
    <w:p w14:paraId="51843714" w14:textId="77777777" w:rsidR="00682475" w:rsidRPr="00CE0869" w:rsidRDefault="00682475" w:rsidP="009330F4">
      <w:pPr>
        <w:spacing w:line="264" w:lineRule="auto"/>
        <w:rPr>
          <w:sz w:val="18"/>
        </w:rPr>
      </w:pPr>
      <w:r>
        <w:rPr>
          <w:sz w:val="18"/>
        </w:rPr>
        <w:t xml:space="preserve">Correo electrónico: </w:t>
      </w:r>
      <w:hyperlink r:id="rId11" w:history="1">
        <w:r>
          <w:rPr>
            <w:rStyle w:val="Hyperlink"/>
            <w:color w:val="auto"/>
            <w:sz w:val="18"/>
            <w:u w:val="none"/>
          </w:rPr>
          <w:t>anita.loesch@jansen.com</w:t>
        </w:r>
      </w:hyperlink>
    </w:p>
    <w:p w14:paraId="5841CAAA" w14:textId="77777777" w:rsidR="00682475" w:rsidRPr="005C2E16" w:rsidRDefault="00682475" w:rsidP="009330F4">
      <w:pPr>
        <w:spacing w:line="264" w:lineRule="auto"/>
        <w:rPr>
          <w:sz w:val="18"/>
        </w:rPr>
      </w:pPr>
    </w:p>
    <w:p w14:paraId="6F08B1C6" w14:textId="77777777" w:rsidR="00682475" w:rsidRPr="00CE0869" w:rsidRDefault="00682475" w:rsidP="009330F4">
      <w:pPr>
        <w:spacing w:line="264" w:lineRule="auto"/>
        <w:rPr>
          <w:b/>
          <w:sz w:val="18"/>
        </w:rPr>
      </w:pPr>
      <w:r>
        <w:rPr>
          <w:b/>
          <w:sz w:val="18"/>
        </w:rPr>
        <w:t xml:space="preserve">Persona de contacto </w:t>
      </w:r>
      <w:r>
        <w:rPr>
          <w:b/>
          <w:sz w:val="18"/>
          <w:u w:val="single"/>
        </w:rPr>
        <w:t>para editoriales alemanas:</w:t>
      </w:r>
    </w:p>
    <w:p w14:paraId="3B98E6DA" w14:textId="06D92F6C" w:rsidR="00682475" w:rsidRPr="005C2E16" w:rsidRDefault="00CE0869" w:rsidP="009330F4">
      <w:pPr>
        <w:spacing w:line="264" w:lineRule="auto"/>
        <w:rPr>
          <w:sz w:val="18"/>
          <w:lang w:val="de-DE"/>
        </w:rPr>
      </w:pPr>
      <w:r w:rsidRPr="005C2E16">
        <w:rPr>
          <w:sz w:val="18"/>
          <w:lang w:val="de-DE"/>
        </w:rPr>
        <w:t>BAUtext Mediendienst</w:t>
      </w:r>
    </w:p>
    <w:p w14:paraId="73DCFEA7" w14:textId="77777777" w:rsidR="00682475" w:rsidRPr="005C2E16" w:rsidRDefault="00625D9B" w:rsidP="009330F4">
      <w:pPr>
        <w:spacing w:line="264" w:lineRule="auto"/>
        <w:rPr>
          <w:sz w:val="18"/>
          <w:lang w:val="de-DE"/>
        </w:rPr>
      </w:pPr>
      <w:r w:rsidRPr="005C2E16">
        <w:rPr>
          <w:sz w:val="18"/>
          <w:lang w:val="de-DE"/>
        </w:rPr>
        <w:t>Anne Marie Ring</w:t>
      </w:r>
    </w:p>
    <w:p w14:paraId="0022351F" w14:textId="56F68BFB" w:rsidR="00682475" w:rsidRPr="005C2E16" w:rsidRDefault="00322E0E" w:rsidP="009330F4">
      <w:pPr>
        <w:spacing w:line="264" w:lineRule="auto"/>
        <w:rPr>
          <w:sz w:val="18"/>
          <w:lang w:val="de-DE"/>
        </w:rPr>
      </w:pPr>
      <w:r w:rsidRPr="005C2E16">
        <w:rPr>
          <w:sz w:val="18"/>
          <w:lang w:val="de-DE"/>
        </w:rPr>
        <w:t>Pernerkreppe 20</w:t>
      </w:r>
    </w:p>
    <w:p w14:paraId="3B5CA1D5" w14:textId="7FAE82C4" w:rsidR="00682475" w:rsidRPr="00CE0869" w:rsidRDefault="00322E0E" w:rsidP="009330F4">
      <w:pPr>
        <w:spacing w:line="264" w:lineRule="auto"/>
        <w:rPr>
          <w:sz w:val="18"/>
        </w:rPr>
      </w:pPr>
      <w:r>
        <w:rPr>
          <w:sz w:val="18"/>
        </w:rPr>
        <w:t>DE-81925 Múnich</w:t>
      </w:r>
    </w:p>
    <w:p w14:paraId="6BB92B5D" w14:textId="0B80FF89" w:rsidR="00682475" w:rsidRPr="00CE0869" w:rsidRDefault="00CE0869" w:rsidP="009330F4">
      <w:pPr>
        <w:spacing w:line="264" w:lineRule="auto"/>
        <w:rPr>
          <w:sz w:val="18"/>
        </w:rPr>
      </w:pPr>
      <w:r>
        <w:rPr>
          <w:sz w:val="18"/>
        </w:rPr>
        <w:t>Tel.: +49 (0)89 12 09 62 77</w:t>
      </w:r>
    </w:p>
    <w:p w14:paraId="39C185D9" w14:textId="77777777" w:rsidR="003668A0" w:rsidRPr="00CE0869" w:rsidRDefault="00682475" w:rsidP="009330F4">
      <w:pPr>
        <w:spacing w:line="264" w:lineRule="auto"/>
        <w:rPr>
          <w:sz w:val="18"/>
        </w:rPr>
      </w:pPr>
      <w:r>
        <w:rPr>
          <w:sz w:val="18"/>
        </w:rPr>
        <w:t xml:space="preserve">Correo electrónico: </w:t>
      </w:r>
      <w:hyperlink r:id="rId12" w:history="1">
        <w:r>
          <w:rPr>
            <w:rStyle w:val="Hyperlink"/>
            <w:color w:val="auto"/>
            <w:sz w:val="18"/>
            <w:u w:val="none"/>
          </w:rPr>
          <w:t>a.ring@bautext.de</w:t>
        </w:r>
      </w:hyperlink>
    </w:p>
    <w:sectPr w:rsidR="003668A0" w:rsidRPr="00CE0869" w:rsidSect="006D33AD">
      <w:headerReference w:type="even" r:id="rId13"/>
      <w:headerReference w:type="default" r:id="rId14"/>
      <w:footerReference w:type="even" r:id="rId15"/>
      <w:footerReference w:type="default" r:id="rId16"/>
      <w:headerReference w:type="first" r:id="rId17"/>
      <w:footerReference w:type="first" r:id="rId1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BD63" w14:textId="77777777" w:rsidR="00953799" w:rsidRDefault="00953799">
      <w:r>
        <w:separator/>
      </w:r>
    </w:p>
  </w:endnote>
  <w:endnote w:type="continuationSeparator" w:id="0">
    <w:p w14:paraId="20D0ECF7" w14:textId="77777777" w:rsidR="00953799" w:rsidRDefault="0095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Syntax-Roman">
    <w:altName w:val="Calibri"/>
    <w:panose1 w:val="00000000000000000000"/>
    <w:charset w:val="4D"/>
    <w:family w:val="auto"/>
    <w:notTrueType/>
    <w:pitch w:val="default"/>
    <w:sig w:usb0="00000003" w:usb1="00000000" w:usb2="00000000" w:usb3="00000000" w:csb0="00000001" w:csb1="00000000"/>
  </w:font>
  <w:font w:name="Syntax-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4996" w14:textId="77777777" w:rsidR="00775113" w:rsidRDefault="007751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900B" w14:textId="77777777" w:rsidR="00775113" w:rsidRDefault="007751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DC41" w14:textId="77777777" w:rsidR="00775113" w:rsidRDefault="007751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73CD" w14:textId="77777777" w:rsidR="00953799" w:rsidRDefault="00953799">
      <w:r>
        <w:separator/>
      </w:r>
    </w:p>
  </w:footnote>
  <w:footnote w:type="continuationSeparator" w:id="0">
    <w:p w14:paraId="5C300BE1" w14:textId="77777777" w:rsidR="00953799" w:rsidRDefault="00953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203" w14:textId="77777777" w:rsidR="00C871BC" w:rsidRDefault="00C871B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C871BC" w:rsidRDefault="00C871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9B24" w14:textId="77777777" w:rsidR="00775113" w:rsidRDefault="007751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6102" w14:textId="77777777" w:rsidR="00C871BC" w:rsidRDefault="00C871BC" w:rsidP="0014413C">
    <w:pPr>
      <w:pStyle w:val="Kopfzeile"/>
      <w:ind w:right="-2270"/>
      <w:jc w:val="right"/>
    </w:pPr>
    <w:r>
      <w:rPr>
        <w:noProof/>
        <w:lang w:val="de-CH" w:eastAsia="de-CH"/>
      </w:rPr>
      <w:drawing>
        <wp:inline distT="0" distB="0" distL="0" distR="0" wp14:anchorId="2931A281" wp14:editId="7033F824">
          <wp:extent cx="1799590" cy="254635"/>
          <wp:effectExtent l="0" t="0" r="3810" b="0"/>
          <wp:docPr id="1" name="Bild 1"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42D5A"/>
    <w:multiLevelType w:val="hybridMultilevel"/>
    <w:tmpl w:val="4322D55E"/>
    <w:lvl w:ilvl="0" w:tplc="F9C46E20">
      <w:start w:val="12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D408F1"/>
    <w:multiLevelType w:val="hybridMultilevel"/>
    <w:tmpl w:val="DC346DE2"/>
    <w:lvl w:ilvl="0" w:tplc="0407000B">
      <w:start w:val="120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979778A"/>
    <w:multiLevelType w:val="hybridMultilevel"/>
    <w:tmpl w:val="63E600F2"/>
    <w:lvl w:ilvl="0" w:tplc="3F10AD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192"/>
    <w:rsid w:val="00000B23"/>
    <w:rsid w:val="00022F46"/>
    <w:rsid w:val="00024FA3"/>
    <w:rsid w:val="00031D94"/>
    <w:rsid w:val="00043A37"/>
    <w:rsid w:val="00045E6B"/>
    <w:rsid w:val="000503F6"/>
    <w:rsid w:val="00051B2D"/>
    <w:rsid w:val="00051B5C"/>
    <w:rsid w:val="000571BA"/>
    <w:rsid w:val="00061610"/>
    <w:rsid w:val="000622FE"/>
    <w:rsid w:val="0006271C"/>
    <w:rsid w:val="00064A71"/>
    <w:rsid w:val="00070450"/>
    <w:rsid w:val="000751C0"/>
    <w:rsid w:val="000813B4"/>
    <w:rsid w:val="000838DB"/>
    <w:rsid w:val="00093014"/>
    <w:rsid w:val="000A0687"/>
    <w:rsid w:val="000A3FBF"/>
    <w:rsid w:val="000A745C"/>
    <w:rsid w:val="000B1120"/>
    <w:rsid w:val="000B13BF"/>
    <w:rsid w:val="000B4DAF"/>
    <w:rsid w:val="000B5782"/>
    <w:rsid w:val="000B5D37"/>
    <w:rsid w:val="000C1E78"/>
    <w:rsid w:val="000C3254"/>
    <w:rsid w:val="000C5653"/>
    <w:rsid w:val="000D21FC"/>
    <w:rsid w:val="000D68D6"/>
    <w:rsid w:val="000F338B"/>
    <w:rsid w:val="00103E50"/>
    <w:rsid w:val="00106C2F"/>
    <w:rsid w:val="00114410"/>
    <w:rsid w:val="00117E06"/>
    <w:rsid w:val="00123653"/>
    <w:rsid w:val="00131121"/>
    <w:rsid w:val="00134E15"/>
    <w:rsid w:val="00143BF6"/>
    <w:rsid w:val="0014413C"/>
    <w:rsid w:val="0014555F"/>
    <w:rsid w:val="00146EC9"/>
    <w:rsid w:val="0015016A"/>
    <w:rsid w:val="0015532B"/>
    <w:rsid w:val="00157E62"/>
    <w:rsid w:val="001601E7"/>
    <w:rsid w:val="0016307D"/>
    <w:rsid w:val="00165146"/>
    <w:rsid w:val="001664F6"/>
    <w:rsid w:val="0017100E"/>
    <w:rsid w:val="001859F8"/>
    <w:rsid w:val="00191E8E"/>
    <w:rsid w:val="00193FD8"/>
    <w:rsid w:val="001956BE"/>
    <w:rsid w:val="001A02DF"/>
    <w:rsid w:val="001A037D"/>
    <w:rsid w:val="001A08B5"/>
    <w:rsid w:val="001A11C0"/>
    <w:rsid w:val="001A5368"/>
    <w:rsid w:val="001B6195"/>
    <w:rsid w:val="001C077D"/>
    <w:rsid w:val="001C3D39"/>
    <w:rsid w:val="001C51CB"/>
    <w:rsid w:val="001C59D7"/>
    <w:rsid w:val="001D00F9"/>
    <w:rsid w:val="001D37BE"/>
    <w:rsid w:val="001E26C4"/>
    <w:rsid w:val="001E38C5"/>
    <w:rsid w:val="001F113E"/>
    <w:rsid w:val="001F569D"/>
    <w:rsid w:val="00200AE3"/>
    <w:rsid w:val="002110D9"/>
    <w:rsid w:val="0021488B"/>
    <w:rsid w:val="0022305E"/>
    <w:rsid w:val="00226E13"/>
    <w:rsid w:val="002402F9"/>
    <w:rsid w:val="00242CA5"/>
    <w:rsid w:val="00257688"/>
    <w:rsid w:val="002636C5"/>
    <w:rsid w:val="002647D2"/>
    <w:rsid w:val="00286E78"/>
    <w:rsid w:val="00291C50"/>
    <w:rsid w:val="002A14C6"/>
    <w:rsid w:val="002B273A"/>
    <w:rsid w:val="002C4334"/>
    <w:rsid w:val="002D15ED"/>
    <w:rsid w:val="002E2696"/>
    <w:rsid w:val="002E5E36"/>
    <w:rsid w:val="002E6CA8"/>
    <w:rsid w:val="002E7B31"/>
    <w:rsid w:val="002F45D4"/>
    <w:rsid w:val="0031071A"/>
    <w:rsid w:val="00311AA0"/>
    <w:rsid w:val="003129E8"/>
    <w:rsid w:val="0032185E"/>
    <w:rsid w:val="00322E0E"/>
    <w:rsid w:val="003337CE"/>
    <w:rsid w:val="0033380E"/>
    <w:rsid w:val="00334C1C"/>
    <w:rsid w:val="00337B8A"/>
    <w:rsid w:val="00344322"/>
    <w:rsid w:val="003449C8"/>
    <w:rsid w:val="00356FB1"/>
    <w:rsid w:val="00360151"/>
    <w:rsid w:val="003668A0"/>
    <w:rsid w:val="00371FB1"/>
    <w:rsid w:val="00372E6E"/>
    <w:rsid w:val="003850C9"/>
    <w:rsid w:val="003A7286"/>
    <w:rsid w:val="003B1264"/>
    <w:rsid w:val="003B6114"/>
    <w:rsid w:val="003C5415"/>
    <w:rsid w:val="003C6265"/>
    <w:rsid w:val="003D2B9B"/>
    <w:rsid w:val="003D52F3"/>
    <w:rsid w:val="003E6694"/>
    <w:rsid w:val="003E7548"/>
    <w:rsid w:val="003F1EF3"/>
    <w:rsid w:val="003F36C3"/>
    <w:rsid w:val="004007DA"/>
    <w:rsid w:val="00403039"/>
    <w:rsid w:val="00404397"/>
    <w:rsid w:val="00405B19"/>
    <w:rsid w:val="00414AD3"/>
    <w:rsid w:val="00415A29"/>
    <w:rsid w:val="00422473"/>
    <w:rsid w:val="00423EBE"/>
    <w:rsid w:val="0042412A"/>
    <w:rsid w:val="00426EEF"/>
    <w:rsid w:val="004278A7"/>
    <w:rsid w:val="004317A0"/>
    <w:rsid w:val="0043369B"/>
    <w:rsid w:val="00434109"/>
    <w:rsid w:val="00435BD7"/>
    <w:rsid w:val="00436C43"/>
    <w:rsid w:val="00442733"/>
    <w:rsid w:val="0044475A"/>
    <w:rsid w:val="00446B63"/>
    <w:rsid w:val="0045581F"/>
    <w:rsid w:val="0045656C"/>
    <w:rsid w:val="00465303"/>
    <w:rsid w:val="00465B37"/>
    <w:rsid w:val="00472885"/>
    <w:rsid w:val="004763C5"/>
    <w:rsid w:val="00476530"/>
    <w:rsid w:val="004800B8"/>
    <w:rsid w:val="00482337"/>
    <w:rsid w:val="004A71D8"/>
    <w:rsid w:val="004A7C10"/>
    <w:rsid w:val="004B1BD8"/>
    <w:rsid w:val="004C2FF9"/>
    <w:rsid w:val="004C5789"/>
    <w:rsid w:val="004F464A"/>
    <w:rsid w:val="004F6EBD"/>
    <w:rsid w:val="005032B1"/>
    <w:rsid w:val="005049C3"/>
    <w:rsid w:val="00510330"/>
    <w:rsid w:val="00514F96"/>
    <w:rsid w:val="00516644"/>
    <w:rsid w:val="005216D1"/>
    <w:rsid w:val="00523C16"/>
    <w:rsid w:val="00525C74"/>
    <w:rsid w:val="005353F1"/>
    <w:rsid w:val="00535F87"/>
    <w:rsid w:val="00540E84"/>
    <w:rsid w:val="00542D6A"/>
    <w:rsid w:val="00543473"/>
    <w:rsid w:val="005450E9"/>
    <w:rsid w:val="00546E93"/>
    <w:rsid w:val="00546ECA"/>
    <w:rsid w:val="00550B3A"/>
    <w:rsid w:val="0055281A"/>
    <w:rsid w:val="00564FB2"/>
    <w:rsid w:val="00565C24"/>
    <w:rsid w:val="0057771B"/>
    <w:rsid w:val="0058131C"/>
    <w:rsid w:val="0058358B"/>
    <w:rsid w:val="00586216"/>
    <w:rsid w:val="005910CB"/>
    <w:rsid w:val="00594060"/>
    <w:rsid w:val="005A048B"/>
    <w:rsid w:val="005A0B04"/>
    <w:rsid w:val="005A0D4D"/>
    <w:rsid w:val="005A3BD5"/>
    <w:rsid w:val="005B513F"/>
    <w:rsid w:val="005B7604"/>
    <w:rsid w:val="005C0A4B"/>
    <w:rsid w:val="005C2E16"/>
    <w:rsid w:val="005C65BD"/>
    <w:rsid w:val="005D7654"/>
    <w:rsid w:val="005E2873"/>
    <w:rsid w:val="005E2E69"/>
    <w:rsid w:val="005E3C8E"/>
    <w:rsid w:val="005E4D8B"/>
    <w:rsid w:val="005F121E"/>
    <w:rsid w:val="005F4690"/>
    <w:rsid w:val="005F50AB"/>
    <w:rsid w:val="005F6120"/>
    <w:rsid w:val="0060156B"/>
    <w:rsid w:val="00606714"/>
    <w:rsid w:val="0061149E"/>
    <w:rsid w:val="00612EE1"/>
    <w:rsid w:val="00620221"/>
    <w:rsid w:val="0062373E"/>
    <w:rsid w:val="00625D9B"/>
    <w:rsid w:val="00627164"/>
    <w:rsid w:val="00630751"/>
    <w:rsid w:val="00635EC6"/>
    <w:rsid w:val="00643641"/>
    <w:rsid w:val="006444AE"/>
    <w:rsid w:val="00645D9F"/>
    <w:rsid w:val="00651892"/>
    <w:rsid w:val="0065684B"/>
    <w:rsid w:val="0066066C"/>
    <w:rsid w:val="00664D3D"/>
    <w:rsid w:val="00665DD3"/>
    <w:rsid w:val="00665F0A"/>
    <w:rsid w:val="00680027"/>
    <w:rsid w:val="00680F11"/>
    <w:rsid w:val="00682475"/>
    <w:rsid w:val="00685882"/>
    <w:rsid w:val="006979C1"/>
    <w:rsid w:val="006A2319"/>
    <w:rsid w:val="006A37DD"/>
    <w:rsid w:val="006B0872"/>
    <w:rsid w:val="006B2644"/>
    <w:rsid w:val="006B5424"/>
    <w:rsid w:val="006C332B"/>
    <w:rsid w:val="006C6AD8"/>
    <w:rsid w:val="006D33AD"/>
    <w:rsid w:val="006D43D1"/>
    <w:rsid w:val="006D4705"/>
    <w:rsid w:val="006E2451"/>
    <w:rsid w:val="006E433C"/>
    <w:rsid w:val="0070074B"/>
    <w:rsid w:val="00701DCA"/>
    <w:rsid w:val="00702823"/>
    <w:rsid w:val="00716D78"/>
    <w:rsid w:val="00723704"/>
    <w:rsid w:val="00724AA3"/>
    <w:rsid w:val="00732B45"/>
    <w:rsid w:val="007512E3"/>
    <w:rsid w:val="00762AEA"/>
    <w:rsid w:val="00763F3A"/>
    <w:rsid w:val="0076529D"/>
    <w:rsid w:val="007665EE"/>
    <w:rsid w:val="00775113"/>
    <w:rsid w:val="00781F00"/>
    <w:rsid w:val="00787D9B"/>
    <w:rsid w:val="007978C0"/>
    <w:rsid w:val="007B21AC"/>
    <w:rsid w:val="007B2D4E"/>
    <w:rsid w:val="007B4D3F"/>
    <w:rsid w:val="007B69BA"/>
    <w:rsid w:val="007B6F32"/>
    <w:rsid w:val="007C305C"/>
    <w:rsid w:val="007C4097"/>
    <w:rsid w:val="007C7107"/>
    <w:rsid w:val="007E0695"/>
    <w:rsid w:val="007E0BAB"/>
    <w:rsid w:val="007E33DA"/>
    <w:rsid w:val="007E6EEF"/>
    <w:rsid w:val="007F3E83"/>
    <w:rsid w:val="007F779F"/>
    <w:rsid w:val="0080073A"/>
    <w:rsid w:val="00810A7E"/>
    <w:rsid w:val="008118E3"/>
    <w:rsid w:val="008229E2"/>
    <w:rsid w:val="00823B4F"/>
    <w:rsid w:val="00824DA8"/>
    <w:rsid w:val="00825D19"/>
    <w:rsid w:val="00826BC5"/>
    <w:rsid w:val="00827AA7"/>
    <w:rsid w:val="0083409E"/>
    <w:rsid w:val="00837822"/>
    <w:rsid w:val="00844305"/>
    <w:rsid w:val="00853541"/>
    <w:rsid w:val="00856BC4"/>
    <w:rsid w:val="0086651A"/>
    <w:rsid w:val="008722D1"/>
    <w:rsid w:val="008727DF"/>
    <w:rsid w:val="00875017"/>
    <w:rsid w:val="00877805"/>
    <w:rsid w:val="0088472D"/>
    <w:rsid w:val="008847E3"/>
    <w:rsid w:val="00891730"/>
    <w:rsid w:val="008953FF"/>
    <w:rsid w:val="008974C2"/>
    <w:rsid w:val="008A017B"/>
    <w:rsid w:val="008A32A0"/>
    <w:rsid w:val="008B0227"/>
    <w:rsid w:val="008B6A6E"/>
    <w:rsid w:val="008C2251"/>
    <w:rsid w:val="008D7A85"/>
    <w:rsid w:val="008E1DA0"/>
    <w:rsid w:val="008E60C9"/>
    <w:rsid w:val="009007DD"/>
    <w:rsid w:val="009032C9"/>
    <w:rsid w:val="00912B73"/>
    <w:rsid w:val="00913949"/>
    <w:rsid w:val="0091525B"/>
    <w:rsid w:val="00916294"/>
    <w:rsid w:val="009175C4"/>
    <w:rsid w:val="00927099"/>
    <w:rsid w:val="0092709A"/>
    <w:rsid w:val="00931FD8"/>
    <w:rsid w:val="009330F4"/>
    <w:rsid w:val="00934160"/>
    <w:rsid w:val="009364CF"/>
    <w:rsid w:val="009527BD"/>
    <w:rsid w:val="00952CA0"/>
    <w:rsid w:val="00953799"/>
    <w:rsid w:val="00953B6C"/>
    <w:rsid w:val="00971986"/>
    <w:rsid w:val="0097221B"/>
    <w:rsid w:val="009748F3"/>
    <w:rsid w:val="009776EE"/>
    <w:rsid w:val="00986587"/>
    <w:rsid w:val="00990CB7"/>
    <w:rsid w:val="00996873"/>
    <w:rsid w:val="009A082C"/>
    <w:rsid w:val="009A29E8"/>
    <w:rsid w:val="009A307F"/>
    <w:rsid w:val="009B6EBF"/>
    <w:rsid w:val="009B761F"/>
    <w:rsid w:val="009C07A0"/>
    <w:rsid w:val="009D40D1"/>
    <w:rsid w:val="009E068A"/>
    <w:rsid w:val="009E0EBD"/>
    <w:rsid w:val="009E3AF1"/>
    <w:rsid w:val="009F28AB"/>
    <w:rsid w:val="009F699F"/>
    <w:rsid w:val="009F777E"/>
    <w:rsid w:val="00A00A9D"/>
    <w:rsid w:val="00A049E0"/>
    <w:rsid w:val="00A069E1"/>
    <w:rsid w:val="00A14972"/>
    <w:rsid w:val="00A33AB9"/>
    <w:rsid w:val="00A35005"/>
    <w:rsid w:val="00A401DA"/>
    <w:rsid w:val="00A43701"/>
    <w:rsid w:val="00A44709"/>
    <w:rsid w:val="00A530E7"/>
    <w:rsid w:val="00A5513E"/>
    <w:rsid w:val="00A616E2"/>
    <w:rsid w:val="00A61FA6"/>
    <w:rsid w:val="00A63B19"/>
    <w:rsid w:val="00A7438C"/>
    <w:rsid w:val="00A8337D"/>
    <w:rsid w:val="00A833F4"/>
    <w:rsid w:val="00A851EC"/>
    <w:rsid w:val="00A96308"/>
    <w:rsid w:val="00AA5CA6"/>
    <w:rsid w:val="00AA7F7E"/>
    <w:rsid w:val="00AB08FC"/>
    <w:rsid w:val="00AB2FCB"/>
    <w:rsid w:val="00AB6679"/>
    <w:rsid w:val="00AD11DB"/>
    <w:rsid w:val="00AD37CB"/>
    <w:rsid w:val="00AD7062"/>
    <w:rsid w:val="00AE1228"/>
    <w:rsid w:val="00AE336F"/>
    <w:rsid w:val="00AF498E"/>
    <w:rsid w:val="00B0312D"/>
    <w:rsid w:val="00B065E2"/>
    <w:rsid w:val="00B1018A"/>
    <w:rsid w:val="00B20B4A"/>
    <w:rsid w:val="00B23A9D"/>
    <w:rsid w:val="00B36FC6"/>
    <w:rsid w:val="00B37B84"/>
    <w:rsid w:val="00B464D7"/>
    <w:rsid w:val="00B55611"/>
    <w:rsid w:val="00B700CD"/>
    <w:rsid w:val="00B708CD"/>
    <w:rsid w:val="00B71E46"/>
    <w:rsid w:val="00B73891"/>
    <w:rsid w:val="00B7504B"/>
    <w:rsid w:val="00B779BB"/>
    <w:rsid w:val="00B81275"/>
    <w:rsid w:val="00B82D39"/>
    <w:rsid w:val="00B87015"/>
    <w:rsid w:val="00B9165B"/>
    <w:rsid w:val="00BA3C07"/>
    <w:rsid w:val="00BA3E38"/>
    <w:rsid w:val="00BA3FBD"/>
    <w:rsid w:val="00BA45A1"/>
    <w:rsid w:val="00BA652E"/>
    <w:rsid w:val="00BB128A"/>
    <w:rsid w:val="00BB14D4"/>
    <w:rsid w:val="00BB24D2"/>
    <w:rsid w:val="00BB2B9F"/>
    <w:rsid w:val="00BB51B0"/>
    <w:rsid w:val="00BC018B"/>
    <w:rsid w:val="00BE0985"/>
    <w:rsid w:val="00BE22B2"/>
    <w:rsid w:val="00BE2B08"/>
    <w:rsid w:val="00BE35C4"/>
    <w:rsid w:val="00C0196B"/>
    <w:rsid w:val="00C105C5"/>
    <w:rsid w:val="00C203D0"/>
    <w:rsid w:val="00C2356D"/>
    <w:rsid w:val="00C43B28"/>
    <w:rsid w:val="00C459C6"/>
    <w:rsid w:val="00C52300"/>
    <w:rsid w:val="00C56050"/>
    <w:rsid w:val="00C56D97"/>
    <w:rsid w:val="00C56F53"/>
    <w:rsid w:val="00C60925"/>
    <w:rsid w:val="00C67F59"/>
    <w:rsid w:val="00C76B6C"/>
    <w:rsid w:val="00C7701F"/>
    <w:rsid w:val="00C77AF7"/>
    <w:rsid w:val="00C80404"/>
    <w:rsid w:val="00C80A29"/>
    <w:rsid w:val="00C80AD6"/>
    <w:rsid w:val="00C825A5"/>
    <w:rsid w:val="00C871BC"/>
    <w:rsid w:val="00C906C9"/>
    <w:rsid w:val="00CA060D"/>
    <w:rsid w:val="00CA4E6E"/>
    <w:rsid w:val="00CB7917"/>
    <w:rsid w:val="00CB79FA"/>
    <w:rsid w:val="00CC10F0"/>
    <w:rsid w:val="00CC4E19"/>
    <w:rsid w:val="00CC5AA3"/>
    <w:rsid w:val="00CD17B7"/>
    <w:rsid w:val="00CD7F2C"/>
    <w:rsid w:val="00CE0869"/>
    <w:rsid w:val="00CE2229"/>
    <w:rsid w:val="00CF1EC9"/>
    <w:rsid w:val="00CF2BE8"/>
    <w:rsid w:val="00D007DF"/>
    <w:rsid w:val="00D12095"/>
    <w:rsid w:val="00D151AF"/>
    <w:rsid w:val="00D22381"/>
    <w:rsid w:val="00D25D1F"/>
    <w:rsid w:val="00D2780D"/>
    <w:rsid w:val="00D336AD"/>
    <w:rsid w:val="00D34A8C"/>
    <w:rsid w:val="00D40E50"/>
    <w:rsid w:val="00D411C5"/>
    <w:rsid w:val="00D41A66"/>
    <w:rsid w:val="00D44F24"/>
    <w:rsid w:val="00D63389"/>
    <w:rsid w:val="00D64A10"/>
    <w:rsid w:val="00D67980"/>
    <w:rsid w:val="00D67F72"/>
    <w:rsid w:val="00D7562E"/>
    <w:rsid w:val="00D75F00"/>
    <w:rsid w:val="00D94765"/>
    <w:rsid w:val="00D96E49"/>
    <w:rsid w:val="00DA0B06"/>
    <w:rsid w:val="00DA39FA"/>
    <w:rsid w:val="00DB20C2"/>
    <w:rsid w:val="00DC470B"/>
    <w:rsid w:val="00DD3AF3"/>
    <w:rsid w:val="00DD6485"/>
    <w:rsid w:val="00DD7637"/>
    <w:rsid w:val="00DE37A9"/>
    <w:rsid w:val="00DF2EF7"/>
    <w:rsid w:val="00E01A78"/>
    <w:rsid w:val="00E04058"/>
    <w:rsid w:val="00E0502D"/>
    <w:rsid w:val="00E05B26"/>
    <w:rsid w:val="00E107B8"/>
    <w:rsid w:val="00E123D5"/>
    <w:rsid w:val="00E1379A"/>
    <w:rsid w:val="00E20B28"/>
    <w:rsid w:val="00E46228"/>
    <w:rsid w:val="00E51165"/>
    <w:rsid w:val="00E56E75"/>
    <w:rsid w:val="00E7430B"/>
    <w:rsid w:val="00E77707"/>
    <w:rsid w:val="00E81FBD"/>
    <w:rsid w:val="00E85BA7"/>
    <w:rsid w:val="00E96767"/>
    <w:rsid w:val="00E97784"/>
    <w:rsid w:val="00EA1316"/>
    <w:rsid w:val="00EA513A"/>
    <w:rsid w:val="00EB0C73"/>
    <w:rsid w:val="00EB1651"/>
    <w:rsid w:val="00EC0301"/>
    <w:rsid w:val="00ED085F"/>
    <w:rsid w:val="00ED6F40"/>
    <w:rsid w:val="00EE4D67"/>
    <w:rsid w:val="00EE62A7"/>
    <w:rsid w:val="00EF2994"/>
    <w:rsid w:val="00F012F9"/>
    <w:rsid w:val="00F05CE3"/>
    <w:rsid w:val="00F171DC"/>
    <w:rsid w:val="00F30916"/>
    <w:rsid w:val="00F31658"/>
    <w:rsid w:val="00F35BAF"/>
    <w:rsid w:val="00F42991"/>
    <w:rsid w:val="00F56CF3"/>
    <w:rsid w:val="00F7760E"/>
    <w:rsid w:val="00F800B8"/>
    <w:rsid w:val="00F91B76"/>
    <w:rsid w:val="00F95811"/>
    <w:rsid w:val="00F95FEB"/>
    <w:rsid w:val="00FA1714"/>
    <w:rsid w:val="00FA2F25"/>
    <w:rsid w:val="00FA6DED"/>
    <w:rsid w:val="00FB3083"/>
    <w:rsid w:val="00FB718D"/>
    <w:rsid w:val="00FC3AB5"/>
    <w:rsid w:val="00FE24AE"/>
    <w:rsid w:val="00FE55C9"/>
    <w:rsid w:val="00FE6838"/>
    <w:rsid w:val="00FE797E"/>
    <w:rsid w:val="00FF102E"/>
    <w:rsid w:val="00FF79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DC7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es-ES"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es-ES"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es-ES"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es-ES"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semiHidden/>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es-ES"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es-ES" w:eastAsia="de-DE"/>
    </w:rPr>
  </w:style>
  <w:style w:type="character" w:customStyle="1" w:styleId="bneawe">
    <w:name w:val="bneawe"/>
    <w:basedOn w:val="Absatz-Standardschriftart"/>
    <w:rsid w:val="002402F9"/>
  </w:style>
  <w:style w:type="paragraph" w:styleId="Listenabsatz">
    <w:name w:val="List Paragraph"/>
    <w:basedOn w:val="Standard"/>
    <w:uiPriority w:val="34"/>
    <w:qFormat/>
    <w:rsid w:val="009C07A0"/>
    <w:pPr>
      <w:ind w:left="720"/>
      <w:contextualSpacing/>
    </w:pPr>
  </w:style>
  <w:style w:type="paragraph" w:customStyle="1" w:styleId="KeinAbsatzformat">
    <w:name w:val="[Kein Absatzformat]"/>
    <w:rsid w:val="002A14C6"/>
    <w:pPr>
      <w:widowControl w:val="0"/>
      <w:autoSpaceDE w:val="0"/>
      <w:autoSpaceDN w:val="0"/>
      <w:adjustRightInd w:val="0"/>
      <w:spacing w:line="288" w:lineRule="auto"/>
      <w:textAlignment w:val="center"/>
    </w:pPr>
    <w:rPr>
      <w:rFonts w:ascii="Times-Roman" w:hAnsi="Times-Roman" w:cs="Times-Roman"/>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ing@bautext.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ta.loesch@janse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8704-3139-4B19-AE62-EAE7ED92924C}">
  <ds:schemaRefs>
    <ds:schemaRef ds:uri="http://schemas.microsoft.com/sharepoint/v3/contenttype/forms"/>
  </ds:schemaRefs>
</ds:datastoreItem>
</file>

<file path=customXml/itemProps2.xml><?xml version="1.0" encoding="utf-8"?>
<ds:datastoreItem xmlns:ds="http://schemas.openxmlformats.org/officeDocument/2006/customXml" ds:itemID="{29703FC2-29F0-4B20-AC9A-7E3333884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1C40B-F3AA-4C40-A2C1-4D82393FFF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FFB83B-6572-4D0F-863A-C78D09AA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8028</Characters>
  <Application>Microsoft Office Word</Application>
  <DocSecurity>0</DocSecurity>
  <Lines>66</Lines>
  <Paragraphs>18</Paragraphs>
  <ScaleCrop>false</ScaleCrop>
  <Company/>
  <LinksUpToDate>false</LinksUpToDate>
  <CharactersWithSpaces>9284</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2022-01-11T14:14:00Z</dcterms:created>
  <dcterms:modified xsi:type="dcterms:W3CDTF">2022-02-01T14:18:00Z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